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46"/>
        <w:gridCol w:w="1531"/>
        <w:gridCol w:w="4281"/>
      </w:tblGrid>
      <w:tr w:rsidR="00C22755" w:rsidRPr="000D6B95" w:rsidTr="00BA0855">
        <w:trPr>
          <w:trHeight w:val="1658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C22755" w:rsidRPr="000D6B95" w:rsidRDefault="00C22755" w:rsidP="00EE2C01">
            <w:pPr>
              <w:pStyle w:val="1"/>
              <w:ind w:right="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ХАЛЬМГ  ТАНГЧИН</w:t>
            </w:r>
          </w:p>
          <w:p w:rsidR="00C22755" w:rsidRPr="000D6B95" w:rsidRDefault="00C22755" w:rsidP="00EE2C01">
            <w:pPr>
              <w:pStyle w:val="1"/>
              <w:ind w:right="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БА</w:t>
            </w:r>
            <w:r w:rsidRPr="000D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 xml:space="preserve"> - Д</w:t>
            </w:r>
            <w:r w:rsidRPr="000D6B95">
              <w:rPr>
                <w:rFonts w:ascii="Times New Roman" w:hAnsi="Times New Roman"/>
                <w:b/>
                <w:sz w:val="24"/>
                <w:szCs w:val="24"/>
              </w:rPr>
              <w:sym w:font="Symbol" w:char="F071"/>
            </w: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РВДЭ РАЙОНА</w:t>
            </w:r>
          </w:p>
          <w:p w:rsidR="00C22755" w:rsidRPr="000D6B95" w:rsidRDefault="00C22755" w:rsidP="00EE2C01">
            <w:pPr>
              <w:pStyle w:val="1"/>
              <w:ind w:right="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МУНИЦИПАЛЬН БУРДЭЦИН</w:t>
            </w:r>
          </w:p>
          <w:p w:rsidR="00C22755" w:rsidRPr="000D6B95" w:rsidRDefault="00C22755" w:rsidP="00EE2C01">
            <w:pPr>
              <w:pStyle w:val="1"/>
              <w:ind w:right="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АДМИНИСТРАЦИН </w:t>
            </w:r>
          </w:p>
          <w:p w:rsidR="00C22755" w:rsidRPr="000D6B95" w:rsidRDefault="00C22755" w:rsidP="00EE2C01">
            <w:pPr>
              <w:pStyle w:val="1"/>
              <w:ind w:right="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ТОГТАВР</w:t>
            </w:r>
          </w:p>
          <w:p w:rsidR="00C22755" w:rsidRPr="000D6B95" w:rsidRDefault="00C22755" w:rsidP="001A331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C22755" w:rsidRPr="000D6B95" w:rsidRDefault="00C22755" w:rsidP="001A331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35F4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2" style="width:66.75pt;height:66pt;visibility:visible">
                  <v:imagedata r:id="rId4" o:title=""/>
                </v:shape>
              </w:pict>
            </w:r>
          </w:p>
          <w:p w:rsidR="00C22755" w:rsidRPr="000D6B95" w:rsidRDefault="00C22755" w:rsidP="001A331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C22755" w:rsidRPr="000D6B95" w:rsidRDefault="00C22755" w:rsidP="00BA0855">
            <w:pPr>
              <w:pStyle w:val="1"/>
              <w:ind w:left="-56" w:right="-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C22755" w:rsidRPr="000D6B95" w:rsidRDefault="00C22755" w:rsidP="00BA0855">
            <w:pPr>
              <w:pStyle w:val="1"/>
              <w:ind w:left="-56" w:right="-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АДМИНИСТРАЦИИ МАЛОДЕРБЕТОВСКОГО РАЙОННОГО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УНИЦИПАЛЬНОГО ОБРАЗОВАНИЯ</w:t>
            </w:r>
          </w:p>
          <w:p w:rsidR="00C22755" w:rsidRPr="000D6B95" w:rsidRDefault="00C22755" w:rsidP="00BA0855">
            <w:pPr>
              <w:pStyle w:val="1"/>
              <w:ind w:left="-56" w:right="-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РЕСПУБЛИКИ КАЛМЫКИЯ</w:t>
            </w:r>
          </w:p>
        </w:tc>
      </w:tr>
      <w:tr w:rsidR="00C22755" w:rsidRPr="000D6B95" w:rsidTr="00BA0855">
        <w:trPr>
          <w:trHeight w:val="222"/>
        </w:trPr>
        <w:tc>
          <w:tcPr>
            <w:tcW w:w="9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22755" w:rsidRPr="000D6B95" w:rsidRDefault="00C22755" w:rsidP="001A3319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2" o:spid="_x0000_s1026" style="position:absolute;left:0;text-align:left;z-index:251658240;visibility:visible;mso-position-horizontal-relative:text;mso-position-vertical-relative:text" from="-20.55pt,5.7pt" to="465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" o:allowincell="f" strokeweight="4.5pt">
                  <v:stroke linestyle="thickThin"/>
                </v:line>
              </w:pict>
            </w:r>
          </w:p>
        </w:tc>
      </w:tr>
    </w:tbl>
    <w:p w:rsidR="00C22755" w:rsidRPr="004456E6" w:rsidRDefault="00C22755" w:rsidP="000D6B95">
      <w:pPr>
        <w:ind w:left="5387" w:hanging="5387"/>
        <w:jc w:val="both"/>
        <w:rPr>
          <w:rFonts w:ascii="Times New Roman" w:hAnsi="Times New Roman"/>
          <w:bCs/>
          <w:sz w:val="24"/>
          <w:szCs w:val="24"/>
        </w:rPr>
      </w:pPr>
      <w:r w:rsidRPr="004456E6">
        <w:rPr>
          <w:rFonts w:ascii="Times New Roman" w:hAnsi="Times New Roman"/>
          <w:bCs/>
          <w:sz w:val="24"/>
          <w:szCs w:val="24"/>
        </w:rPr>
        <w:t>с. Малые Дербеты                               №</w:t>
      </w:r>
      <w:r>
        <w:rPr>
          <w:rFonts w:ascii="Times New Roman" w:hAnsi="Times New Roman"/>
          <w:bCs/>
          <w:sz w:val="24"/>
          <w:szCs w:val="24"/>
        </w:rPr>
        <w:t xml:space="preserve">  141                            </w:t>
      </w:r>
      <w:r w:rsidRPr="004456E6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56E6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>30» ___</w:t>
      </w:r>
      <w:r w:rsidRPr="002C3C53">
        <w:rPr>
          <w:rFonts w:ascii="Times New Roman" w:hAnsi="Times New Roman"/>
          <w:bCs/>
          <w:sz w:val="24"/>
          <w:szCs w:val="24"/>
          <w:u w:val="single"/>
        </w:rPr>
        <w:t>12</w:t>
      </w:r>
      <w:r>
        <w:rPr>
          <w:rFonts w:ascii="Times New Roman" w:hAnsi="Times New Roman"/>
          <w:bCs/>
          <w:sz w:val="24"/>
          <w:szCs w:val="24"/>
          <w:u w:val="single"/>
        </w:rPr>
        <w:t>__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56E6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19г.</w:t>
      </w:r>
    </w:p>
    <w:p w:rsidR="00C22755" w:rsidRPr="000D6B95" w:rsidRDefault="00C22755" w:rsidP="00707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22755" w:rsidRPr="00B6183D" w:rsidRDefault="00C22755" w:rsidP="00DA058B">
      <w:pPr>
        <w:pStyle w:val="NoSpacing"/>
        <w:ind w:left="4111"/>
        <w:jc w:val="both"/>
        <w:rPr>
          <w:sz w:val="28"/>
          <w:szCs w:val="28"/>
        </w:rPr>
      </w:pPr>
      <w:r w:rsidRPr="00B6183D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B6183D">
        <w:rPr>
          <w:sz w:val="28"/>
          <w:szCs w:val="28"/>
        </w:rPr>
        <w:t>определении размера вреда, причиняемого тяжеловесными транспортными средствами, при движении по автомобильным дорогам местного значения Малодербетовского района Республики Калмыкия».</w:t>
      </w:r>
    </w:p>
    <w:p w:rsidR="00C22755" w:rsidRPr="00B6183D" w:rsidRDefault="00C22755" w:rsidP="00707870">
      <w:pPr>
        <w:pStyle w:val="NoSpacing"/>
        <w:jc w:val="both"/>
        <w:rPr>
          <w:sz w:val="28"/>
          <w:szCs w:val="28"/>
        </w:rPr>
      </w:pPr>
    </w:p>
    <w:p w:rsidR="00C22755" w:rsidRPr="008E640B" w:rsidRDefault="00C22755" w:rsidP="00453CFA">
      <w:pPr>
        <w:pStyle w:val="ConsPlusNormal"/>
        <w:ind w:firstLine="709"/>
        <w:jc w:val="both"/>
        <w:rPr>
          <w:sz w:val="26"/>
          <w:szCs w:val="26"/>
        </w:rPr>
      </w:pPr>
      <w:r w:rsidRPr="008E640B">
        <w:rPr>
          <w:sz w:val="26"/>
          <w:szCs w:val="26"/>
        </w:rPr>
        <w:t xml:space="preserve">В целях обеспечения сохранности автомобильных дорог общего пользования местного значения в соответствии с федеральными законами от 08.11.2007 N </w:t>
      </w:r>
      <w:hyperlink r:id="rId5" w:history="1">
        <w:r w:rsidRPr="008E640B">
          <w:rPr>
            <w:color w:val="0000FF"/>
            <w:sz w:val="26"/>
            <w:szCs w:val="26"/>
          </w:rPr>
          <w:t>257-ФЗ</w:t>
        </w:r>
      </w:hyperlink>
      <w:r w:rsidRPr="008E640B">
        <w:rPr>
          <w:sz w:val="26"/>
          <w:szCs w:val="26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</w:t>
      </w:r>
      <w:hyperlink r:id="rId6" w:history="1">
        <w:r w:rsidRPr="008E640B">
          <w:rPr>
            <w:color w:val="0000FF"/>
            <w:sz w:val="26"/>
            <w:szCs w:val="26"/>
          </w:rPr>
          <w:t>N 131-ФЗ</w:t>
        </w:r>
      </w:hyperlink>
      <w:r w:rsidRPr="008E640B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8E640B">
          <w:rPr>
            <w:color w:val="0000FF"/>
            <w:sz w:val="26"/>
            <w:szCs w:val="26"/>
          </w:rPr>
          <w:t>постановлением</w:t>
        </w:r>
      </w:hyperlink>
      <w:r w:rsidRPr="008E640B">
        <w:rPr>
          <w:sz w:val="26"/>
          <w:szCs w:val="26"/>
        </w:rPr>
        <w:t xml:space="preserve"> Правительства Российской Федерации от 16.11.2009 №934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администрация Малодербетовского районного муниципального образования Республики Калмыкия</w:t>
      </w:r>
      <w:r>
        <w:rPr>
          <w:sz w:val="26"/>
          <w:szCs w:val="26"/>
        </w:rPr>
        <w:t xml:space="preserve">, </w:t>
      </w:r>
      <w:r w:rsidRPr="008E640B">
        <w:rPr>
          <w:sz w:val="26"/>
          <w:szCs w:val="26"/>
        </w:rPr>
        <w:t xml:space="preserve">руководствуясь Уставом Малодербетовского районного муниципального образования Республики Калмыкия, </w:t>
      </w:r>
    </w:p>
    <w:p w:rsidR="00C22755" w:rsidRPr="008E640B" w:rsidRDefault="00C22755" w:rsidP="00453CFA">
      <w:pPr>
        <w:pStyle w:val="ConsPlusNormal"/>
        <w:ind w:firstLine="709"/>
        <w:jc w:val="both"/>
        <w:rPr>
          <w:b/>
          <w:bCs/>
          <w:color w:val="000000"/>
          <w:sz w:val="26"/>
          <w:szCs w:val="26"/>
        </w:rPr>
      </w:pPr>
      <w:r w:rsidRPr="008E640B">
        <w:rPr>
          <w:b/>
          <w:bCs/>
          <w:color w:val="000000"/>
          <w:sz w:val="26"/>
          <w:szCs w:val="26"/>
        </w:rPr>
        <w:t>ПОСТАНОВЛЯЕТ:</w:t>
      </w:r>
    </w:p>
    <w:p w:rsidR="00C22755" w:rsidRPr="008E640B" w:rsidRDefault="00C22755" w:rsidP="00453C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640B">
        <w:rPr>
          <w:rFonts w:ascii="Times New Roman" w:hAnsi="Times New Roman"/>
          <w:sz w:val="26"/>
          <w:szCs w:val="26"/>
        </w:rPr>
        <w:t>1. Определить размер вреда, причиняемого тяжеловесными транспортными средствами, при движении по автомобильным дорогам местного значения Малодербетовского района Рес</w:t>
      </w:r>
      <w:bookmarkStart w:id="0" w:name="_GoBack"/>
      <w:bookmarkEnd w:id="0"/>
      <w:r w:rsidRPr="008E640B">
        <w:rPr>
          <w:rFonts w:ascii="Times New Roman" w:hAnsi="Times New Roman"/>
          <w:sz w:val="26"/>
          <w:szCs w:val="26"/>
        </w:rPr>
        <w:t xml:space="preserve">публики Калмыкия, в соответствии с </w:t>
      </w:r>
      <w:hyperlink w:anchor="P27" w:history="1">
        <w:r w:rsidRPr="008E640B">
          <w:rPr>
            <w:rFonts w:ascii="Times New Roman" w:hAnsi="Times New Roman"/>
            <w:sz w:val="26"/>
            <w:szCs w:val="26"/>
          </w:rPr>
          <w:t>показателями</w:t>
        </w:r>
      </w:hyperlink>
      <w:r w:rsidRPr="008E640B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C22755" w:rsidRPr="008E640B" w:rsidRDefault="00C22755" w:rsidP="00453C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640B">
        <w:rPr>
          <w:rFonts w:ascii="Times New Roman" w:hAnsi="Times New Roman"/>
          <w:sz w:val="26"/>
          <w:szCs w:val="26"/>
        </w:rPr>
        <w:t>2. Настоящее постановление подлежит опубликованию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640B">
        <w:rPr>
          <w:rFonts w:ascii="Times New Roman" w:hAnsi="Times New Roman"/>
          <w:sz w:val="26"/>
          <w:szCs w:val="26"/>
        </w:rPr>
        <w:t>на официальном сайте администрации Малодербетовского РМО РК.</w:t>
      </w:r>
    </w:p>
    <w:p w:rsidR="00C22755" w:rsidRPr="008E640B" w:rsidRDefault="00C22755" w:rsidP="00453C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640B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возложить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640B">
        <w:rPr>
          <w:rFonts w:ascii="Times New Roman" w:hAnsi="Times New Roman"/>
          <w:sz w:val="26"/>
          <w:szCs w:val="26"/>
        </w:rPr>
        <w:t>заместителя главы администрации Малодербетовского РМО РК Базырова С.А.</w:t>
      </w:r>
    </w:p>
    <w:p w:rsidR="00C22755" w:rsidRPr="008E640B" w:rsidRDefault="00C22755" w:rsidP="00B618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2755" w:rsidRPr="008E640B" w:rsidRDefault="00C22755" w:rsidP="00B618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2755" w:rsidRPr="008E640B" w:rsidRDefault="00C22755" w:rsidP="0070787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E640B">
        <w:rPr>
          <w:rFonts w:ascii="Times New Roman" w:hAnsi="Times New Roman"/>
          <w:sz w:val="26"/>
          <w:szCs w:val="26"/>
        </w:rPr>
        <w:t xml:space="preserve">Глава  </w:t>
      </w:r>
    </w:p>
    <w:p w:rsidR="00C22755" w:rsidRPr="008E640B" w:rsidRDefault="00C22755" w:rsidP="000D6B9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E640B">
        <w:rPr>
          <w:rFonts w:ascii="Times New Roman" w:hAnsi="Times New Roman"/>
          <w:sz w:val="26"/>
          <w:szCs w:val="26"/>
        </w:rPr>
        <w:t>Малодербетовского РМО РК (ахлачи)                                  С.Н. Лиджиев</w:t>
      </w:r>
    </w:p>
    <w:p w:rsidR="00C22755" w:rsidRPr="00707F29" w:rsidRDefault="00C22755" w:rsidP="007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2755" w:rsidRDefault="00C22755" w:rsidP="007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2755" w:rsidRDefault="00C22755" w:rsidP="007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2755" w:rsidRDefault="00C22755" w:rsidP="007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2755" w:rsidRDefault="00C22755" w:rsidP="007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22755" w:rsidRPr="00707F29" w:rsidRDefault="00C22755" w:rsidP="00707F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7F29">
        <w:rPr>
          <w:rFonts w:ascii="Times New Roman" w:hAnsi="Times New Roman"/>
          <w:sz w:val="20"/>
          <w:szCs w:val="20"/>
        </w:rPr>
        <w:t>Исп. Бухалдаев Д.Д.,</w:t>
      </w:r>
    </w:p>
    <w:p w:rsidR="00C22755" w:rsidRPr="00707F29" w:rsidRDefault="00C22755" w:rsidP="00707F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7F29">
        <w:rPr>
          <w:rFonts w:ascii="Times New Roman" w:hAnsi="Times New Roman"/>
          <w:sz w:val="20"/>
          <w:szCs w:val="20"/>
        </w:rPr>
        <w:t>Потолдыков Н.В.</w:t>
      </w:r>
    </w:p>
    <w:p w:rsidR="00C22755" w:rsidRPr="000D6B95" w:rsidRDefault="00C22755" w:rsidP="00707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6B95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</w:p>
    <w:p w:rsidR="00C22755" w:rsidRPr="000D6B95" w:rsidRDefault="00C22755" w:rsidP="00707870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0D6B95">
        <w:rPr>
          <w:rFonts w:ascii="Times New Roman" w:hAnsi="Times New Roman"/>
          <w:sz w:val="24"/>
          <w:szCs w:val="24"/>
        </w:rPr>
        <w:t xml:space="preserve">к 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0D6B95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C22755" w:rsidRPr="000D6B95" w:rsidRDefault="00C22755" w:rsidP="000D6B95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0D6B95">
        <w:rPr>
          <w:rFonts w:ascii="Times New Roman" w:hAnsi="Times New Roman"/>
          <w:sz w:val="24"/>
          <w:szCs w:val="24"/>
        </w:rPr>
        <w:t xml:space="preserve">Малодербетовского  </w:t>
      </w:r>
      <w:r>
        <w:rPr>
          <w:rFonts w:ascii="Times New Roman" w:hAnsi="Times New Roman"/>
          <w:sz w:val="24"/>
          <w:szCs w:val="24"/>
        </w:rPr>
        <w:t>РМО РК</w:t>
      </w:r>
    </w:p>
    <w:p w:rsidR="00C22755" w:rsidRPr="000D6B95" w:rsidRDefault="00C22755" w:rsidP="00707870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0D6B9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D6B95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_______________</w:t>
      </w:r>
      <w:r w:rsidRPr="000D6B9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2019</w:t>
      </w:r>
      <w:r w:rsidRPr="000D6B95">
        <w:rPr>
          <w:rFonts w:ascii="Times New Roman" w:hAnsi="Times New Roman"/>
          <w:sz w:val="24"/>
          <w:szCs w:val="24"/>
        </w:rPr>
        <w:t xml:space="preserve">г.  </w:t>
      </w:r>
    </w:p>
    <w:p w:rsidR="00C22755" w:rsidRPr="007E3062" w:rsidRDefault="00C22755" w:rsidP="00B6183D">
      <w:pPr>
        <w:pStyle w:val="ConsPlusNormal"/>
        <w:jc w:val="both"/>
      </w:pPr>
    </w:p>
    <w:p w:rsidR="00C22755" w:rsidRPr="007E3062" w:rsidRDefault="00C22755" w:rsidP="00B6183D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7E3062">
        <w:rPr>
          <w:rFonts w:ascii="Times New Roman" w:hAnsi="Times New Roman" w:cs="Times New Roman"/>
        </w:rPr>
        <w:t>ПОКАЗАТЕЛИ</w:t>
      </w:r>
    </w:p>
    <w:p w:rsidR="00C22755" w:rsidRPr="007E3062" w:rsidRDefault="00C2275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РАЗМЕРА ВРЕДА, ПРИЧИНЯЕМОГО ТЯЖЕЛОВЕСНЫМИ ТРАНСПОРТНЫМИ</w:t>
      </w:r>
    </w:p>
    <w:p w:rsidR="00C22755" w:rsidRPr="007E3062" w:rsidRDefault="00C2275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СРЕДСТВАМИ, ПРИ ДВИЖЕНИИ ПО АВТОМОБИЛЬНЫМ ДОРОГАМ МЕСТНОГО</w:t>
      </w:r>
    </w:p>
    <w:p w:rsidR="00C22755" w:rsidRPr="007E3062" w:rsidRDefault="00C2275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ЗНАЧЕНИЯ МАЛОДЕРБЕТОВСКОГО РАЙОННОГО МУНИЦИПАЛЬНОГО ОБРАЗОВАНИЯ РЕСПУБЛИКИ КАЛМЫКИЯ</w:t>
      </w:r>
    </w:p>
    <w:p w:rsidR="00C22755" w:rsidRPr="007E3062" w:rsidRDefault="00C22755" w:rsidP="00B6183D">
      <w:pPr>
        <w:pStyle w:val="ConsPlusNormal"/>
        <w:jc w:val="both"/>
      </w:pPr>
    </w:p>
    <w:p w:rsidR="00C22755" w:rsidRPr="007E3062" w:rsidRDefault="00C22755" w:rsidP="00B6183D">
      <w:pPr>
        <w:pStyle w:val="ConsPlusNormal"/>
        <w:jc w:val="both"/>
      </w:pPr>
    </w:p>
    <w:p w:rsidR="00C22755" w:rsidRPr="007E3062" w:rsidRDefault="00C22755" w:rsidP="00B6183D">
      <w:pPr>
        <w:pStyle w:val="ConsPlusNormal"/>
        <w:jc w:val="both"/>
      </w:pPr>
      <w:bookmarkStart w:id="2" w:name="P34"/>
      <w:bookmarkEnd w:id="2"/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7E3062" w:rsidRDefault="00C22755" w:rsidP="00B6183D">
      <w:pPr>
        <w:rPr>
          <w:rFonts w:ascii="Times New Roman" w:hAnsi="Times New Roman"/>
        </w:rPr>
        <w:sectPr w:rsidR="00C22755" w:rsidRPr="007E3062" w:rsidSect="004368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2755" w:rsidRPr="007E3062" w:rsidRDefault="00C22755" w:rsidP="00B6183D">
      <w:pPr>
        <w:pStyle w:val="ConsPlusNormal"/>
        <w:jc w:val="right"/>
        <w:outlineLvl w:val="1"/>
      </w:pPr>
      <w:r w:rsidRPr="007E3062">
        <w:t>Таблица 1</w:t>
      </w:r>
    </w:p>
    <w:p w:rsidR="00C22755" w:rsidRPr="007E3062" w:rsidRDefault="00C22755" w:rsidP="00B6183D">
      <w:pPr>
        <w:pStyle w:val="ConsPlusTitle"/>
        <w:jc w:val="center"/>
        <w:rPr>
          <w:rFonts w:ascii="Times New Roman" w:hAnsi="Times New Roman" w:cs="Times New Roman"/>
        </w:rPr>
      </w:pPr>
    </w:p>
    <w:p w:rsidR="00C22755" w:rsidRPr="007E3062" w:rsidRDefault="00C2275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РАЗМЕР ВРЕДА, ПРИЧИНЯЕМОГО ТЯЖЕЛОВЕСНЫМИ ТРАНСПОРТНЫМИ СРЕДСТВАМИ, ПРИ ДВИЖЕНИИ ПО АВТОМОБИЛЬНЫМ ДОРОГАМ МЕСТНОГО ЗНАЧЕНИЯ МАЛОДЕРБЕТОВСКОГО РАЙОННОГО МУНИЦИПАЛЬНОГО ОБРАЗОВАНИЯ РЕСПУБЛИКИ КАЛМЫКИЯ, РАССЧИТАННЫМ ПОД ОСЕВУЮ НАГРУЗКУ 10 ТОНН/ ОСЬ, ОТ ПРЕВЫШЕНИЯ ДОПУСТИМЫХ ОСЕВЫХ НАГРУЗОК НА КАЖДУЮ ОСЬ ТРАНСПОРТНОГО СРЕДСТВА</w:t>
      </w:r>
    </w:p>
    <w:tbl>
      <w:tblPr>
        <w:tblpPr w:leftFromText="180" w:rightFromText="180" w:vertAnchor="page" w:horzAnchor="margin" w:tblpY="3501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10410"/>
      </w:tblGrid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N п/п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E3062">
                <w:t>100 км</w:t>
              </w:r>
            </w:smartTag>
            <w:r w:rsidRPr="007E3062">
              <w:t>)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1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2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3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1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До 10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1637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2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10 до 20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2618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3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20 до 30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4188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4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30 до 40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6329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5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40 до 50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9026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6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50 до 60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12271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7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60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 xml:space="preserve">рассчитывается по формулам, приведенным в </w:t>
            </w:r>
            <w:hyperlink r:id="rId8" w:history="1">
              <w:r w:rsidRPr="007E3062">
                <w:rPr>
                  <w:color w:val="0000FF"/>
                </w:rPr>
                <w:t>методике</w:t>
              </w:r>
            </w:hyperlink>
            <w:r w:rsidRPr="007E3062">
              <w:t xml:space="preserve">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3062">
                <w:t>2009 г</w:t>
              </w:r>
            </w:smartTag>
            <w:r w:rsidRPr="007E3062">
              <w:t>.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    </w:r>
          </w:p>
        </w:tc>
      </w:tr>
    </w:tbl>
    <w:p w:rsidR="00C22755" w:rsidRPr="007E3062" w:rsidRDefault="00C22755" w:rsidP="00B6183D">
      <w:pPr>
        <w:pStyle w:val="ConsPlusNormal"/>
        <w:jc w:val="both"/>
      </w:pPr>
    </w:p>
    <w:p w:rsidR="00C22755" w:rsidRPr="007E3062" w:rsidRDefault="00C22755" w:rsidP="00B6183D">
      <w:pPr>
        <w:pStyle w:val="ConsPlusNormal"/>
        <w:jc w:val="both"/>
      </w:pPr>
    </w:p>
    <w:p w:rsidR="00C22755" w:rsidRDefault="00C22755" w:rsidP="00B6183D">
      <w:pPr>
        <w:pStyle w:val="ConsPlusNormal"/>
        <w:ind w:firstLine="540"/>
        <w:jc w:val="both"/>
      </w:pPr>
      <w:r w:rsidRPr="007E3062">
        <w:t xml:space="preserve">В период временных ограничений движения транспортных средств по автомобильным дорогам местного значения Малодербетовского районного муниципального образования Республики Калмыкия в связи с неблагоприятными климатическими условиями значения размера вреда, установленные </w:t>
      </w:r>
      <w:hyperlink w:anchor="P34" w:history="1">
        <w:r w:rsidRPr="007E3062">
          <w:rPr>
            <w:color w:val="0000FF"/>
          </w:rPr>
          <w:t>таблицей 1</w:t>
        </w:r>
      </w:hyperlink>
      <w:r w:rsidRPr="007E3062">
        <w:t>, увеличиваются в 2,9 раза.</w:t>
      </w:r>
    </w:p>
    <w:p w:rsidR="00C22755" w:rsidRPr="007E3062" w:rsidRDefault="00C22755" w:rsidP="00B6183D">
      <w:pPr>
        <w:pStyle w:val="ConsPlusNormal"/>
        <w:ind w:firstLine="540"/>
        <w:jc w:val="both"/>
      </w:pPr>
    </w:p>
    <w:p w:rsidR="00C22755" w:rsidRPr="007E3062" w:rsidRDefault="00C22755" w:rsidP="00B6183D">
      <w:pPr>
        <w:pStyle w:val="ConsPlusNormal"/>
        <w:ind w:firstLine="540"/>
        <w:jc w:val="both"/>
      </w:pPr>
    </w:p>
    <w:p w:rsidR="00C22755" w:rsidRPr="007E3062" w:rsidRDefault="00C22755" w:rsidP="00B6183D">
      <w:pPr>
        <w:pStyle w:val="ConsPlusNormal"/>
        <w:jc w:val="right"/>
        <w:outlineLvl w:val="1"/>
      </w:pPr>
      <w:r w:rsidRPr="007E3062">
        <w:t>Таблица 2</w:t>
      </w:r>
    </w:p>
    <w:p w:rsidR="00C22755" w:rsidRPr="007E3062" w:rsidRDefault="00C22755" w:rsidP="00B6183D">
      <w:pPr>
        <w:pStyle w:val="ConsPlusNormal"/>
        <w:jc w:val="both"/>
      </w:pPr>
    </w:p>
    <w:p w:rsidR="00C22755" w:rsidRPr="007E3062" w:rsidRDefault="00C22755" w:rsidP="00B6183D">
      <w:pPr>
        <w:pStyle w:val="ConsPlusTitle"/>
        <w:jc w:val="center"/>
        <w:rPr>
          <w:rFonts w:ascii="Times New Roman" w:hAnsi="Times New Roman" w:cs="Times New Roman"/>
        </w:rPr>
      </w:pPr>
      <w:bookmarkStart w:id="3" w:name="P73"/>
      <w:bookmarkEnd w:id="3"/>
      <w:r w:rsidRPr="007E3062">
        <w:rPr>
          <w:rFonts w:ascii="Times New Roman" w:hAnsi="Times New Roman" w:cs="Times New Roman"/>
        </w:rPr>
        <w:t>РАЗМЕР ВРЕДА, ПРИЧИНЯЕМОГО ТЯЖЕЛОВЕСНЫМИ ТРАНСПОРТНЫМИ СРЕДСТВАМИ, ПРИ ДВИЖЕНИИ ПО АВТОМОБИЛЬНЫМ ДОРОГАМ МЕСТНОГО ЗНАЧЕНИЯ МАЛОДЕРБЕТОВСКОГО РАЙОННОГО МУНИЦИПАЛЬНОГО ОБРАЗОВАНИЯ РЕСПУБЛИКИ КАЛМЫКИЯ, РАССЧИТАННЫМ ПОД ОСЕВУЮ НАГРУЗКУ 11,5 ТОНН/ОСЬ, ОТ ПРЕВЫШЕНИЯ ДОПУСТИМЫХ ОСЕВЫХ НАГРУЗОК НА КАЖДУЮ ОСЬ ТРАНСПОРТНОГО СРЕДСТВА</w:t>
      </w:r>
    </w:p>
    <w:p w:rsidR="00C22755" w:rsidRPr="007E3062" w:rsidRDefault="00C22755" w:rsidP="00B6183D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10410"/>
      </w:tblGrid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N п/п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E3062">
                <w:t>100 км</w:t>
              </w:r>
            </w:smartTag>
            <w:r w:rsidRPr="007E3062">
              <w:t>)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1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До 10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708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2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10 до 20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1026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3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20 до 30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1534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4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30 до 40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2228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5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40 до 50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3102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6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50 до 60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4153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7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60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 xml:space="preserve">рассчитывается по формулам, приведенным в </w:t>
            </w:r>
            <w:hyperlink r:id="rId9" w:history="1">
              <w:r w:rsidRPr="007E3062">
                <w:rPr>
                  <w:color w:val="0000FF"/>
                </w:rPr>
                <w:t>методике</w:t>
              </w:r>
            </w:hyperlink>
            <w:r w:rsidRPr="007E3062">
              <w:t xml:space="preserve">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3062">
                <w:t>2009 г</w:t>
              </w:r>
            </w:smartTag>
            <w:r w:rsidRPr="007E3062">
              <w:t>.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    </w:r>
          </w:p>
        </w:tc>
      </w:tr>
    </w:tbl>
    <w:p w:rsidR="00C22755" w:rsidRPr="007E3062" w:rsidRDefault="00C22755" w:rsidP="00B6183D">
      <w:pPr>
        <w:pStyle w:val="ConsPlusNormal"/>
        <w:jc w:val="both"/>
      </w:pPr>
    </w:p>
    <w:p w:rsidR="00C22755" w:rsidRPr="007E3062" w:rsidRDefault="00C22755" w:rsidP="00B6183D">
      <w:pPr>
        <w:pStyle w:val="ConsPlusNormal"/>
        <w:ind w:firstLine="540"/>
        <w:jc w:val="both"/>
      </w:pPr>
      <w:r w:rsidRPr="007E3062">
        <w:t xml:space="preserve">В период временных ограничений движения транспортных средств по автомобильным дорогам местного значения Малодербетовского районного муниципального образования Республики Калмыкия в связи с неблагоприятными климатическими условиями значения размера вреда, установленные </w:t>
      </w:r>
      <w:hyperlink w:anchor="P73" w:history="1">
        <w:r w:rsidRPr="007E3062">
          <w:rPr>
            <w:color w:val="0000FF"/>
          </w:rPr>
          <w:t>таблицей 2</w:t>
        </w:r>
      </w:hyperlink>
      <w:r w:rsidRPr="007E3062">
        <w:t>, увеличиваются в 2,9 раза.</w:t>
      </w:r>
    </w:p>
    <w:p w:rsidR="00C22755" w:rsidRPr="007E3062" w:rsidRDefault="00C22755" w:rsidP="00B6183D">
      <w:pPr>
        <w:pStyle w:val="ConsPlusNormal"/>
        <w:outlineLvl w:val="1"/>
      </w:pPr>
    </w:p>
    <w:p w:rsidR="00C22755" w:rsidRPr="007E3062" w:rsidRDefault="00C22755" w:rsidP="00B6183D">
      <w:pPr>
        <w:pStyle w:val="ConsPlusNormal"/>
        <w:jc w:val="right"/>
        <w:outlineLvl w:val="1"/>
      </w:pPr>
      <w:r w:rsidRPr="007E3062">
        <w:t>Таблица 3</w:t>
      </w:r>
    </w:p>
    <w:p w:rsidR="00C22755" w:rsidRPr="007E3062" w:rsidRDefault="00C22755" w:rsidP="00B6183D">
      <w:pPr>
        <w:pStyle w:val="ConsPlusNormal"/>
        <w:jc w:val="both"/>
      </w:pPr>
    </w:p>
    <w:p w:rsidR="00C22755" w:rsidRPr="007E3062" w:rsidRDefault="00C2275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РАЗМЕР ВРЕДА, ПРИЧИНЯЕМОГО ТЯЖЕЛОВЕСНЫМИ ТРАНСПОРТНЫМИ СРЕДСТВАМИ, ПРИ ДВИЖЕНИИ ПО АВТОМОБИЛЬНЫМ ДОРОГАМ МЕСТНОГО ЗНАЧЕНИЯ МАЛОДЕРБЕТОВСКОГО РАЙОННОГО МУНИЦИПАЛЬНОГО ОБРАЗОВАНИЯ РЕСПУБЛИКИ КАЛМЫКИЯ ОТ ПРЕВЫШЕНИЯ ДОПУСТИМОЙ ДЛЯ АВТОМОБИЛЬНОЙ ДОРОГИ МАССЫ ТРАНСПОРТНОГО СРЕДСТВА</w:t>
      </w:r>
    </w:p>
    <w:p w:rsidR="00C22755" w:rsidRPr="007E3062" w:rsidRDefault="00C22755" w:rsidP="00B6183D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10410"/>
      </w:tblGrid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N п/п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Превышение допустимой массы (процентов)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E3062">
                <w:t>100 км</w:t>
              </w:r>
            </w:smartTag>
            <w:r w:rsidRPr="007E3062">
              <w:t>)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1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До 10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2823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2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10 до 20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3228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3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20 до 30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3633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4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30 до 40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4038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5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40 до 50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4443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6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50 до 60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4848</w:t>
            </w:r>
          </w:p>
        </w:tc>
      </w:tr>
      <w:tr w:rsidR="00C22755" w:rsidRPr="007E3062" w:rsidTr="001B4670">
        <w:tc>
          <w:tcPr>
            <w:tcW w:w="56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7</w:t>
            </w:r>
          </w:p>
        </w:tc>
        <w:tc>
          <w:tcPr>
            <w:tcW w:w="3969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Свыше 60</w:t>
            </w:r>
          </w:p>
        </w:tc>
        <w:tc>
          <w:tcPr>
            <w:tcW w:w="10410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 xml:space="preserve">рассчитывается по формулам, приведенным в </w:t>
            </w:r>
            <w:hyperlink r:id="rId10" w:history="1">
              <w:r w:rsidRPr="007E3062">
                <w:rPr>
                  <w:color w:val="0000FF"/>
                </w:rPr>
                <w:t>методике</w:t>
              </w:r>
            </w:hyperlink>
            <w:r w:rsidRPr="007E3062">
              <w:t xml:space="preserve">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3062">
                <w:t>2009 г</w:t>
              </w:r>
            </w:smartTag>
            <w:r w:rsidRPr="007E3062">
              <w:t>.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    </w:r>
          </w:p>
        </w:tc>
      </w:tr>
    </w:tbl>
    <w:p w:rsidR="00C22755" w:rsidRPr="007E3062" w:rsidRDefault="00C22755" w:rsidP="00B6183D">
      <w:pPr>
        <w:rPr>
          <w:rFonts w:ascii="Times New Roman" w:hAnsi="Times New Roman"/>
        </w:rPr>
        <w:sectPr w:rsidR="00C22755" w:rsidRPr="007E3062" w:rsidSect="00007288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C22755" w:rsidRPr="007E3062" w:rsidRDefault="00C22755" w:rsidP="00B6183D">
      <w:pPr>
        <w:pStyle w:val="ConsPlusNormal"/>
        <w:jc w:val="both"/>
      </w:pPr>
    </w:p>
    <w:p w:rsidR="00C22755" w:rsidRPr="007E3062" w:rsidRDefault="00C22755" w:rsidP="00B6183D">
      <w:pPr>
        <w:pStyle w:val="ConsPlusNormal"/>
        <w:jc w:val="right"/>
        <w:outlineLvl w:val="1"/>
      </w:pPr>
      <w:r w:rsidRPr="007E3062">
        <w:t>Таблица 4</w:t>
      </w:r>
    </w:p>
    <w:p w:rsidR="00C22755" w:rsidRPr="007E3062" w:rsidRDefault="00C22755" w:rsidP="00B6183D">
      <w:pPr>
        <w:pStyle w:val="ConsPlusNormal"/>
        <w:jc w:val="both"/>
      </w:pPr>
    </w:p>
    <w:p w:rsidR="00C22755" w:rsidRPr="007E3062" w:rsidRDefault="00C2275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ИСХОДНЫЕ ЗНАЧЕНИЯ РАЗМЕРА ВРЕДА,</w:t>
      </w:r>
    </w:p>
    <w:p w:rsidR="00C22755" w:rsidRPr="007E3062" w:rsidRDefault="00C2275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ПРИЧИНЯЕМОГО ТЯЖЕЛОВЕСНЫМИ ТРАНСПОРТНЫМИ СРЕДСТВАМИ,</w:t>
      </w:r>
    </w:p>
    <w:p w:rsidR="00C22755" w:rsidRPr="007E3062" w:rsidRDefault="00C2275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ПРИ ПРЕВЫШЕНИИ ДОПУСТИМЫХ ОСЕВЫХ НАГРУЗОК ДЛЯ АВТОМОБИЛЬНОЙ</w:t>
      </w:r>
    </w:p>
    <w:p w:rsidR="00C22755" w:rsidRPr="007E3062" w:rsidRDefault="00C2275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ДОРОГИ НА 5 ПРОЦЕНТОВ (Р ИСХ.) И ПОСТОЯННЫЕ КОЭФФИЦИЕНТЫ (А,</w:t>
      </w:r>
    </w:p>
    <w:p w:rsidR="00C22755" w:rsidRPr="007E3062" w:rsidRDefault="00C2275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B, С, D) ДЛЯ АВТОМОБИЛЬНЫХ ДОРОГ МЕСТНОГО ЗНАЧЕНИЯ МАЛОДЕРБЕТОВСКОГО РАЙОННОГО МУНИЦИПАЛЬНОГО ОБРАЗОВАНИЯ РЕСПУБЛИКИ КАЛМЫКИЯ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268"/>
        <w:gridCol w:w="1148"/>
        <w:gridCol w:w="1148"/>
        <w:gridCol w:w="1148"/>
        <w:gridCol w:w="1077"/>
      </w:tblGrid>
      <w:tr w:rsidR="00C22755" w:rsidRPr="007E3062" w:rsidTr="001B4670">
        <w:tc>
          <w:tcPr>
            <w:tcW w:w="2268" w:type="dxa"/>
            <w:vMerge w:val="restart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Нормативная (расчетная) осевая нагрузка (тонн/ ось)</w:t>
            </w:r>
          </w:p>
        </w:tc>
        <w:tc>
          <w:tcPr>
            <w:tcW w:w="2268" w:type="dxa"/>
            <w:vMerge w:val="restart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Р</w:t>
            </w:r>
            <w:r w:rsidRPr="007E3062">
              <w:rPr>
                <w:vertAlign w:val="subscript"/>
              </w:rPr>
              <w:t>исх</w:t>
            </w:r>
            <w:r w:rsidRPr="007E3062">
              <w:t xml:space="preserve">. (рублей/ </w:t>
            </w:r>
            <w:smartTag w:uri="urn:schemas-microsoft-com:office:smarttags" w:element="metricconverter">
              <w:smartTagPr>
                <w:attr w:name="ProductID" w:val="100 километров"/>
              </w:smartTagPr>
              <w:r w:rsidRPr="007E3062">
                <w:t>100 километров</w:t>
              </w:r>
            </w:smartTag>
            <w:r w:rsidRPr="007E3062">
              <w:t>)</w:t>
            </w:r>
          </w:p>
        </w:tc>
        <w:tc>
          <w:tcPr>
            <w:tcW w:w="4521" w:type="dxa"/>
            <w:gridSpan w:val="4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Постоянные коэффициенты</w:t>
            </w:r>
          </w:p>
        </w:tc>
      </w:tr>
      <w:tr w:rsidR="00C22755" w:rsidRPr="007E3062" w:rsidTr="001B4670">
        <w:tc>
          <w:tcPr>
            <w:tcW w:w="2268" w:type="dxa"/>
            <w:vMerge/>
          </w:tcPr>
          <w:p w:rsidR="00C22755" w:rsidRPr="007E3062" w:rsidRDefault="00C22755" w:rsidP="001B467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C22755" w:rsidRPr="007E3062" w:rsidRDefault="00C22755" w:rsidP="001B4670">
            <w:pPr>
              <w:rPr>
                <w:rFonts w:ascii="Times New Roman" w:hAnsi="Times New Roman"/>
              </w:rPr>
            </w:pPr>
          </w:p>
        </w:tc>
        <w:tc>
          <w:tcPr>
            <w:tcW w:w="114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а</w:t>
            </w:r>
          </w:p>
        </w:tc>
        <w:tc>
          <w:tcPr>
            <w:tcW w:w="114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b</w:t>
            </w:r>
          </w:p>
        </w:tc>
        <w:tc>
          <w:tcPr>
            <w:tcW w:w="114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с</w:t>
            </w:r>
          </w:p>
        </w:tc>
        <w:tc>
          <w:tcPr>
            <w:tcW w:w="107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d</w:t>
            </w:r>
          </w:p>
        </w:tc>
      </w:tr>
      <w:tr w:rsidR="00C22755" w:rsidRPr="007E3062" w:rsidTr="001B4670">
        <w:tc>
          <w:tcPr>
            <w:tcW w:w="226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6</w:t>
            </w:r>
          </w:p>
        </w:tc>
        <w:tc>
          <w:tcPr>
            <w:tcW w:w="226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8500</w:t>
            </w:r>
          </w:p>
        </w:tc>
        <w:tc>
          <w:tcPr>
            <w:tcW w:w="114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7,3</w:t>
            </w:r>
          </w:p>
        </w:tc>
        <w:tc>
          <w:tcPr>
            <w:tcW w:w="114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0,27</w:t>
            </w:r>
          </w:p>
        </w:tc>
        <w:tc>
          <w:tcPr>
            <w:tcW w:w="114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7365</w:t>
            </w:r>
          </w:p>
        </w:tc>
        <w:tc>
          <w:tcPr>
            <w:tcW w:w="107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123,4</w:t>
            </w:r>
          </w:p>
        </w:tc>
      </w:tr>
      <w:tr w:rsidR="00C22755" w:rsidRPr="007E3062" w:rsidTr="001B4670">
        <w:tc>
          <w:tcPr>
            <w:tcW w:w="226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10</w:t>
            </w:r>
          </w:p>
        </w:tc>
        <w:tc>
          <w:tcPr>
            <w:tcW w:w="226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1840</w:t>
            </w:r>
          </w:p>
        </w:tc>
        <w:tc>
          <w:tcPr>
            <w:tcW w:w="114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37,7</w:t>
            </w:r>
          </w:p>
        </w:tc>
        <w:tc>
          <w:tcPr>
            <w:tcW w:w="114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2,4</w:t>
            </w:r>
          </w:p>
        </w:tc>
        <w:tc>
          <w:tcPr>
            <w:tcW w:w="114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7365</w:t>
            </w:r>
          </w:p>
        </w:tc>
        <w:tc>
          <w:tcPr>
            <w:tcW w:w="107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123,4</w:t>
            </w:r>
          </w:p>
        </w:tc>
      </w:tr>
      <w:tr w:rsidR="00C22755" w:rsidRPr="007E3062" w:rsidTr="001B4670">
        <w:tc>
          <w:tcPr>
            <w:tcW w:w="226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11,5</w:t>
            </w:r>
          </w:p>
        </w:tc>
        <w:tc>
          <w:tcPr>
            <w:tcW w:w="226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840</w:t>
            </w:r>
          </w:p>
        </w:tc>
        <w:tc>
          <w:tcPr>
            <w:tcW w:w="114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39,5</w:t>
            </w:r>
          </w:p>
        </w:tc>
        <w:tc>
          <w:tcPr>
            <w:tcW w:w="114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2,7</w:t>
            </w:r>
          </w:p>
        </w:tc>
        <w:tc>
          <w:tcPr>
            <w:tcW w:w="1148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7365</w:t>
            </w:r>
          </w:p>
        </w:tc>
        <w:tc>
          <w:tcPr>
            <w:tcW w:w="1077" w:type="dxa"/>
            <w:vAlign w:val="center"/>
          </w:tcPr>
          <w:p w:rsidR="00C22755" w:rsidRPr="007E3062" w:rsidRDefault="00C22755" w:rsidP="001B4670">
            <w:pPr>
              <w:pStyle w:val="ConsPlusNormal"/>
              <w:jc w:val="center"/>
            </w:pPr>
            <w:r w:rsidRPr="007E3062">
              <w:t>123,4</w:t>
            </w:r>
          </w:p>
        </w:tc>
      </w:tr>
    </w:tbl>
    <w:p w:rsidR="00C22755" w:rsidRPr="007E3062" w:rsidRDefault="00C22755" w:rsidP="00B6183D">
      <w:pPr>
        <w:pStyle w:val="ConsPlusNormal"/>
        <w:jc w:val="both"/>
      </w:pPr>
    </w:p>
    <w:p w:rsidR="00C22755" w:rsidRPr="007E3062" w:rsidRDefault="00C22755" w:rsidP="00B6183D">
      <w:pPr>
        <w:pStyle w:val="ConsPlusNormal"/>
        <w:jc w:val="both"/>
      </w:pPr>
    </w:p>
    <w:p w:rsidR="00C22755" w:rsidRPr="007E3062" w:rsidRDefault="00C22755" w:rsidP="00B618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2755" w:rsidRPr="007E3062" w:rsidRDefault="00C22755" w:rsidP="00B6183D">
      <w:pPr>
        <w:rPr>
          <w:rFonts w:ascii="Times New Roman" w:hAnsi="Times New Roman"/>
        </w:rPr>
      </w:pPr>
    </w:p>
    <w:p w:rsidR="00C22755" w:rsidRPr="000D6B95" w:rsidRDefault="00C22755" w:rsidP="0070787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C22755" w:rsidRPr="000D6B95" w:rsidSect="0073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870"/>
    <w:rsid w:val="00003D5C"/>
    <w:rsid w:val="00007288"/>
    <w:rsid w:val="000216F5"/>
    <w:rsid w:val="000D6B95"/>
    <w:rsid w:val="001A3319"/>
    <w:rsid w:val="001B4670"/>
    <w:rsid w:val="00270912"/>
    <w:rsid w:val="002B1441"/>
    <w:rsid w:val="002C3C53"/>
    <w:rsid w:val="00312729"/>
    <w:rsid w:val="003715B6"/>
    <w:rsid w:val="00436823"/>
    <w:rsid w:val="004456E6"/>
    <w:rsid w:val="00453CFA"/>
    <w:rsid w:val="0046739D"/>
    <w:rsid w:val="00493BE1"/>
    <w:rsid w:val="004F4EDE"/>
    <w:rsid w:val="00515EBE"/>
    <w:rsid w:val="00707870"/>
    <w:rsid w:val="00707F29"/>
    <w:rsid w:val="007343F5"/>
    <w:rsid w:val="00736361"/>
    <w:rsid w:val="007E3062"/>
    <w:rsid w:val="007F1314"/>
    <w:rsid w:val="008E640B"/>
    <w:rsid w:val="009130AE"/>
    <w:rsid w:val="00945A1C"/>
    <w:rsid w:val="009B010C"/>
    <w:rsid w:val="00B6183D"/>
    <w:rsid w:val="00BA0855"/>
    <w:rsid w:val="00C01402"/>
    <w:rsid w:val="00C22755"/>
    <w:rsid w:val="00CD6DDA"/>
    <w:rsid w:val="00CE116D"/>
    <w:rsid w:val="00CE4489"/>
    <w:rsid w:val="00CF5A7F"/>
    <w:rsid w:val="00D7043E"/>
    <w:rsid w:val="00DA058B"/>
    <w:rsid w:val="00E52C14"/>
    <w:rsid w:val="00EB4C3D"/>
    <w:rsid w:val="00EC447D"/>
    <w:rsid w:val="00EE2C01"/>
    <w:rsid w:val="00F02FB6"/>
    <w:rsid w:val="00F435F4"/>
    <w:rsid w:val="00F6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7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707870"/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707870"/>
    <w:pPr>
      <w:spacing w:after="0" w:line="240" w:lineRule="auto"/>
      <w:jc w:val="right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7870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70787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07870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0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87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53CF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E6AE2394144C0A5257C5326EC26529130B9744595788710DEAAC0282C7226C168474FF4AF28050BB909750EEFE54290A3900C20wCN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DE6AE2394144C0A5257C5326EC26529130B9744595788710DEAAC0282C7226C168474DF3AF23535DF6082948BDF64195A3930E3FC15424wFNE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DE6AE2394144C0A5257C5326EC26529335BD7F4A90788710DEAAC0282C7226C1684744F6AE28050BB909750EEFE54290A3900C20wCNA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8DE6AE2394144C0A5257C5326EC26529335BD754F94788710DEAAC0282C7226C1684745F3A477001EA8517A0BF6FA418CBF920Dw2N8O" TargetMode="External"/><Relationship Id="rId10" Type="http://schemas.openxmlformats.org/officeDocument/2006/relationships/hyperlink" Target="consultantplus://offline/ref=C8DE6AE2394144C0A5257C5326EC26529130B9744595788710DEAAC0282C7226C168474FF4AF28050BB909750EEFE54290A3900C20wCNA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8DE6AE2394144C0A5257C5326EC26529130B9744595788710DEAAC0282C7226C168474FF4AF28050BB909750EEFE54290A3900C20wCN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6</Pages>
  <Words>1165</Words>
  <Characters>6641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</dc:creator>
  <cp:keywords/>
  <dc:description/>
  <cp:lastModifiedBy>василий</cp:lastModifiedBy>
  <cp:revision>7</cp:revision>
  <dcterms:created xsi:type="dcterms:W3CDTF">2019-12-30T07:24:00Z</dcterms:created>
  <dcterms:modified xsi:type="dcterms:W3CDTF">2020-01-13T07:21:00Z</dcterms:modified>
</cp:coreProperties>
</file>